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 xml:space="preserve">附件2.               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企业信息公开表</w:t>
      </w:r>
    </w:p>
    <w:p>
      <w:pPr>
        <w:spacing w:line="400" w:lineRule="exact"/>
        <w:rPr>
          <w:rFonts w:hint="eastAsia" w:ascii="方正黑体_GBK" w:eastAsia="方正黑体_GBK"/>
          <w:sz w:val="22"/>
          <w:szCs w:val="32"/>
        </w:rPr>
      </w:pPr>
      <w:r>
        <w:rPr>
          <w:rFonts w:hint="eastAsia" w:ascii="方正黑体_GBK" w:eastAsia="方正黑体_GBK"/>
          <w:sz w:val="22"/>
          <w:szCs w:val="32"/>
        </w:rPr>
        <w:t>（一）污染物排放超过国家或者地方规定的排放标准，或者虽未超过国家或者地方规定的排放标准，但超过重点污染物排放总量控制指标的；</w:t>
      </w:r>
    </w:p>
    <w:tbl>
      <w:tblPr>
        <w:tblStyle w:val="4"/>
        <w:tblW w:w="11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43"/>
        <w:gridCol w:w="1701"/>
        <w:gridCol w:w="1884"/>
        <w:gridCol w:w="1676"/>
        <w:gridCol w:w="1676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企业所在地址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排放污染物名称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排放浓度和总量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超标及超总量情况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2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2"/>
                <w:szCs w:val="32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2"/>
                <w:szCs w:val="32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2"/>
                <w:szCs w:val="32"/>
              </w:rPr>
            </w:pPr>
          </w:p>
        </w:tc>
      </w:tr>
    </w:tbl>
    <w:p>
      <w:pPr>
        <w:spacing w:line="400" w:lineRule="exact"/>
        <w:rPr>
          <w:rFonts w:ascii="黑体" w:eastAsia="黑体"/>
          <w:b/>
          <w:sz w:val="32"/>
          <w:szCs w:val="32"/>
        </w:rPr>
      </w:pPr>
    </w:p>
    <w:p>
      <w:pPr>
        <w:spacing w:line="400" w:lineRule="exact"/>
        <w:rPr>
          <w:rFonts w:ascii="方正黑体_GBK" w:eastAsia="方正黑体_GBK"/>
          <w:sz w:val="22"/>
          <w:szCs w:val="32"/>
        </w:rPr>
      </w:pPr>
      <w:r>
        <w:rPr>
          <w:rFonts w:hint="eastAsia" w:ascii="方正黑体_GBK" w:eastAsia="方正黑体_GBK"/>
          <w:sz w:val="22"/>
          <w:szCs w:val="32"/>
        </w:rPr>
        <w:t>（二）</w:t>
      </w:r>
      <w:r>
        <w:rPr>
          <w:rFonts w:ascii="方正黑体_GBK" w:eastAsia="方正黑体_GBK"/>
          <w:sz w:val="22"/>
          <w:szCs w:val="32"/>
        </w:rPr>
        <w:t>超过单位产品能源消耗限额标准构成高耗能的；</w:t>
      </w:r>
    </w:p>
    <w:tbl>
      <w:tblPr>
        <w:tblStyle w:val="4"/>
        <w:tblW w:w="118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34"/>
        <w:gridCol w:w="1701"/>
        <w:gridCol w:w="2308"/>
        <w:gridCol w:w="1206"/>
        <w:gridCol w:w="1548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企业所在地址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主要能源品种及消耗量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单位产值能耗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单位产品能耗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超过单位产品能耗限额标准情况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spacing w:line="400" w:lineRule="exact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spacing w:line="400" w:lineRule="exact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400" w:lineRule="exact"/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rPr>
                <w:rFonts w:ascii="黑体" w:eastAsia="黑体"/>
                <w:b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ascii="黑体" w:eastAsia="黑体"/>
          <w:b/>
          <w:sz w:val="32"/>
          <w:szCs w:val="32"/>
        </w:rPr>
      </w:pPr>
    </w:p>
    <w:p>
      <w:pPr>
        <w:spacing w:line="400" w:lineRule="exact"/>
        <w:rPr>
          <w:rFonts w:ascii="方正黑体_GBK" w:eastAsia="方正黑体_GBK"/>
          <w:sz w:val="22"/>
          <w:szCs w:val="32"/>
        </w:rPr>
      </w:pPr>
      <w:r>
        <w:rPr>
          <w:rFonts w:hint="eastAsia" w:ascii="方正黑体_GBK" w:eastAsia="方正黑体_GBK"/>
          <w:sz w:val="22"/>
          <w:szCs w:val="32"/>
        </w:rPr>
        <w:t>（三）</w:t>
      </w:r>
      <w:r>
        <w:rPr>
          <w:rFonts w:ascii="方正黑体_GBK" w:eastAsia="方正黑体_GBK"/>
          <w:sz w:val="22"/>
          <w:szCs w:val="32"/>
        </w:rPr>
        <w:t>使用有毒有害原料进行生产或者在生产中排放有毒有害物质的</w:t>
      </w:r>
      <w:r>
        <w:rPr>
          <w:rFonts w:hint="eastAsia" w:ascii="方正黑体_GBK" w:eastAsia="方正黑体_GBK"/>
          <w:sz w:val="22"/>
          <w:szCs w:val="32"/>
        </w:rPr>
        <w:t>；</w:t>
      </w:r>
    </w:p>
    <w:tbl>
      <w:tblPr>
        <w:tblStyle w:val="4"/>
        <w:tblW w:w="11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608"/>
        <w:gridCol w:w="1626"/>
        <w:gridCol w:w="3314"/>
        <w:gridCol w:w="19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企业单位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企业所在地址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使用有毒有害原料的名称、数量、用途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危险废物的产生和处置情况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依法落实风险防控措施情况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89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南京高正农用化工有限公司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汪茂勤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南京市化学工业园区方水东路一号</w:t>
            </w:r>
          </w:p>
        </w:tc>
        <w:tc>
          <w:tcPr>
            <w:tcW w:w="331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使用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Cs w:val="21"/>
                <w:lang w:eastAsia="zh-CN"/>
              </w:rPr>
              <w:t>吡虫啉原药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60t、复配剂型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委托有处置资质的第三方进行处置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编写风险防控方案及相关项应急预案</w:t>
            </w:r>
          </w:p>
        </w:tc>
      </w:tr>
    </w:tbl>
    <w:p>
      <w:pPr>
        <w:spacing w:line="40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400" w:lineRule="exact"/>
        <w:rPr>
          <w:rFonts w:hint="eastAsia" w:eastAsia="方正楷体_GBK"/>
          <w:color w:val="000000"/>
          <w:kern w:val="0"/>
          <w:sz w:val="22"/>
          <w:szCs w:val="2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2"/>
          <w:szCs w:val="22"/>
        </w:rPr>
        <w:t>注：</w:t>
      </w:r>
      <w:r>
        <w:rPr>
          <w:rFonts w:hint="eastAsia" w:eastAsia="方正楷体_GBK"/>
          <w:color w:val="000000"/>
          <w:kern w:val="0"/>
          <w:sz w:val="22"/>
          <w:szCs w:val="22"/>
        </w:rPr>
        <w:t>符合两款以上情况的企业，应当参照上述要求同时公布相关信息。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75CBF"/>
    <w:rsid w:val="4ADE02ED"/>
    <w:rsid w:val="55B5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GZ</dc:creator>
  <cp:lastModifiedBy>你好啊</cp:lastModifiedBy>
  <dcterms:modified xsi:type="dcterms:W3CDTF">2019-04-25T01:34:46Z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